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A1530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 离散型随机变量及其分布列</w:t>
      </w:r>
    </w:p>
    <w:p w14:paraId="3A2B9619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2.1 随机变量+2.2离散型随机变量的分布列</w:t>
      </w:r>
    </w:p>
    <w:p w14:paraId="352A17BF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1.随机变量：取值随着试验结果的变化而变化的量。通常用字母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X,Y,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ξ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η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等来表示.</w:t>
      </w:r>
    </w:p>
    <w:p w14:paraId="2ADDCBFC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2.离散型随机变量：取值能够</w:t>
      </w:r>
      <w:r>
        <w:rPr>
          <w:rFonts w:hint="eastAsia" w:ascii="Calibri" w:hAnsi="Cambria Math" w:eastAsia="宋体" w:cs="Cambria Math"/>
          <w:sz w:val="21"/>
          <w:u w:val="single"/>
          <w14:ligatures w14:val="none"/>
        </w:rPr>
        <w:t>一一列举</w:t>
      </w:r>
      <w:r>
        <w:rPr>
          <w:rFonts w:hint="eastAsia" w:ascii="Calibri" w:hAnsi="Cambria Math" w:eastAsia="宋体" w:cs="Cambria Math"/>
          <w:sz w:val="21"/>
          <w14:ligatures w14:val="none"/>
        </w:rPr>
        <w:t>出来的随机变量</w:t>
      </w:r>
    </w:p>
    <w:p w14:paraId="19E754F8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3.离散型随机变量的分布列：</w:t>
      </w:r>
    </w:p>
    <w:p w14:paraId="5AB38070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若离散型随机变量</w:t>
      </w:r>
      <m:oMath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的取值为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5" o:spt="75" alt="eqId135922325a74ceabf4ebd178b96bc477" type="#_x0000_t75" style="height:15.8pt;width:64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，随机变量</w:t>
      </w:r>
      <m:oMath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取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6" o:spt="75" alt="eqId135922325a74ceabf4ebd178b96bc477" type="#_x0000_t75" style="height:15.8pt;width:10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的概率为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7" o:spt="75" alt="eqId135922325a74ceabf4ebd178b96bc477" type="#_x0000_t75" style="height:17.9pt;width:84.0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，记作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28" o:spt="75" alt="eqId135922325a74ceabf4ebd178b96bc477" type="#_x0000_t75" style="height:17.9pt;width:138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.①</w:t>
      </w:r>
    </w:p>
    <w:p w14:paraId="33533A6E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也可以列成表，如表所示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490"/>
        <w:gridCol w:w="506"/>
        <w:gridCol w:w="385"/>
        <w:gridCol w:w="490"/>
        <w:gridCol w:w="385"/>
        <w:gridCol w:w="506"/>
      </w:tblGrid>
      <w:tr w14:paraId="7E6D2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F55D76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29" o:spt="75" alt="eqIdf022950e0faa45b617d497b01b5292b9" type="#_x0000_t75" style="height:11.65pt;width:12.5pt;" o:ole="t" filled="f" o:preferrelative="t" stroked="f" coordsize="21600,21600">
                  <v:path/>
                  <v:fill on="f" focussize="0,0"/>
                  <v:stroke on="f" joinstyle="miter"/>
                  <v:imagedata r:id="rId17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0F46F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0" o:spt="75" alt="eqIdc814128ea2139e33db94ea590e7c2223" type="#_x0000_t75" style="height:16.65pt;width:11.25pt;" o:ole="t" filled="f" o:preferrelative="t" stroked="f" coordsize="21600,21600">
                  <v:path/>
                  <v:fill on="f" focussize="0,0"/>
                  <v:stroke on="f" joinstyle="miter"/>
                  <v:imagedata r:id="rId19" o:title="eqIdc814128ea2139e33db94ea590e7c2223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2350E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1" o:spt="75" alt="eqIdaec19b68e3add9d5bfcc6269a1855b87" type="#_x0000_t75" style="height:15.8pt;width:11.25pt;" o:ole="t" filled="f" o:preferrelative="t" stroked="f" coordsize="21600,21600">
                  <v:path/>
                  <v:fill on="f" focussize="0,0"/>
                  <v:stroke on="f" joinstyle="miter"/>
                  <v:imagedata r:id="rId21" o:title="eqIdaec19b68e3add9d5bfcc6269a1855b87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E42E9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DD6F23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2" o:spt="75" alt="eqId97ea8f47d8d8d9e1832d52b1c7425450" type="#_x0000_t75" style="height:15.8pt;width:10.4pt;" o:ole="t" filled="f" o:preferrelative="t" stroked="f" coordsize="21600,21600">
                  <v:path/>
                  <v:fill on="f" focussize="0,0"/>
                  <v:stroke on="f" joinstyle="miter"/>
                  <v:imagedata r:id="rId23" o:title="eqId97ea8f47d8d8d9e1832d52b1c7425450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FD88C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7505D3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3282e5fde4ae53fcb1bb072a685304c9" type="#_x0000_t75" style="height:16.25pt;width:11.25pt;" o:ole="t" filled="f" o:preferrelative="t" stroked="f" coordsize="21600,21600">
                  <v:path/>
                  <v:fill on="f" focussize="0,0"/>
                  <v:stroke on="f" joinstyle="miter"/>
                  <v:imagedata r:id="rId25" o:title="eqId3282e5fde4ae53fcb1bb072a685304c9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4">
                  <o:LockedField>false</o:LockedField>
                </o:OLEObject>
              </w:object>
            </w:r>
          </w:p>
        </w:tc>
      </w:tr>
      <w:tr w14:paraId="435F4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737474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drawing>
                <wp:inline distT="0" distB="0" distL="114300" distR="114300">
                  <wp:extent cx="685800" cy="247650"/>
                  <wp:effectExtent l="0" t="0" r="0" b="0"/>
                  <wp:docPr id="43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4759B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4" o:spt="75" alt="eqId8be646cd52d7f2f1714e7542e75810f2" type="#_x0000_t75" style="height:15.8pt;width:12.5pt;" o:ole="t" filled="f" o:preferrelative="t" stroked="f" coordsize="21600,21600">
                  <v:path/>
                  <v:fill on="f" focussize="0,0"/>
                  <v:stroke on="f" joinstyle="miter"/>
                  <v:imagedata r:id="rId28" o:title="eqId8be646cd52d7f2f1714e7542e75810f2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7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487CB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5" o:spt="75" alt="eqIdadad9633b73dfbbb3d84b4f15979e99e" type="#_x0000_t75" style="height:15.8pt;width:13.3pt;" o:ole="t" filled="f" o:preferrelative="t" stroked="f" coordsize="21600,21600">
                  <v:path/>
                  <v:fill on="f" focussize="0,0"/>
                  <v:stroke on="f" joinstyle="miter"/>
                  <v:imagedata r:id="rId30" o:title="eqIdadad9633b73dfbbb3d84b4f15979e99e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E57921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64E27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6" o:spt="75" alt="eqIdfb5c607987b73502db63f77c9799f4bf" type="#_x0000_t75" style="height:16.65pt;width:12.5pt;" o:ole="t" filled="f" o:preferrelative="t" stroked="f" coordsize="21600,21600">
                  <v:path/>
                  <v:fill on="f" focussize="0,0"/>
                  <v:stroke on="f" joinstyle="miter"/>
                  <v:imagedata r:id="rId32" o:title="eqIdfb5c607987b73502db63f77c9799f4bf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50FC9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F8303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7" o:spt="75" alt="eqId3ffb021aa7d5a5c2f0691e337caad624" type="#_x0000_t75" style="height:15.8pt;width:13.3pt;" o:ole="t" filled="f" o:preferrelative="t" stroked="f" coordsize="21600,21600">
                  <v:path/>
                  <v:fill on="f" focussize="0,0"/>
                  <v:stroke on="f" joinstyle="miter"/>
                  <v:imagedata r:id="rId34" o:title="eqId3ffb021aa7d5a5c2f0691e337caad624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3">
                  <o:LockedField>false</o:LockedField>
                </o:OLEObject>
              </w:object>
            </w:r>
          </w:p>
        </w:tc>
      </w:tr>
    </w:tbl>
    <w:p w14:paraId="39C4C475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①式或表称为离散型随机变量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的分布列，简称为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</w:t>
      </w:r>
      <w:r>
        <w:rPr>
          <w:rFonts w:hint="eastAsia" w:ascii="Calibri" w:hAnsi="Cambria Math" w:eastAsia="宋体" w:cs="Cambria Math"/>
          <w:color w:val="0000FF"/>
          <w:sz w:val="21"/>
          <w:u w:val="single"/>
          <w14:ligatures w14:val="none"/>
        </w:rPr>
        <w:t>分布列</w:t>
      </w:r>
      <w:r>
        <w:rPr>
          <w:rFonts w:hint="eastAsia" w:ascii="Calibri" w:hAnsi="Cambria Math" w:eastAsia="宋体" w:cs="Cambria Math"/>
          <w:sz w:val="21"/>
          <w14:ligatures w14:val="none"/>
        </w:rPr>
        <w:t>。</w:t>
      </w:r>
    </w:p>
    <w:p w14:paraId="4CB18243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显然：（1）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38" o:spt="75" alt="eqIdfb5c607987b73502db63f77c9799f4bf" type="#_x0000_t75" style="height:18.3pt;width:103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；</w:t>
      </w:r>
    </w:p>
    <w:p w14:paraId="50DF224D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（2）</w:t>
      </w:r>
      <w:r>
        <w:rPr>
          <w:rFonts w:ascii="Calibri" w:hAnsi="Cambria Math" w:eastAsia="宋体" w:cs="Cambria Math"/>
          <w:sz w:val="21"/>
          <w14:ligatures w14:val="none"/>
        </w:rPr>
        <w:object>
          <v:shape id="_x0000_i1039" o:spt="75" alt="eqIdfb5c607987b73502db63f77c9799f4bf" type="#_x0000_t75" style="height:16.65pt;width:110.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 w:ascii="Calibri" w:hAnsi="Cambria Math" w:eastAsia="宋体" w:cs="Cambria Math"/>
          <w:sz w:val="21"/>
          <w14:ligatures w14:val="none"/>
        </w:rPr>
        <w:t>.</w:t>
      </w:r>
    </w:p>
    <w:p w14:paraId="1B33B546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4.伯努利试验：</w:t>
      </w:r>
    </w:p>
    <w:p w14:paraId="29BDF4FB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若在某个试验中，每次试验只有两个相互对立的结果，可以分别称为“成功”和“失败”，每次“成功”的概率均为p，每次“失败”的概率均为1-p，则称这样的试验为</w:t>
      </w:r>
      <w:r>
        <w:rPr>
          <w:rFonts w:hint="eastAsia" w:ascii="Calibri" w:hAnsi="Calibri" w:eastAsia="宋体" w:cs="Times New Roman"/>
          <w:color w:val="0000FF"/>
          <w:sz w:val="21"/>
          <w:u w:val="single"/>
          <w14:ligatures w14:val="none"/>
        </w:rPr>
        <w:t>伯努利试验</w:t>
      </w:r>
      <w:r>
        <w:rPr>
          <w:rFonts w:hint="eastAsia" w:ascii="Calibri" w:hAnsi="Calibri" w:eastAsia="宋体" w:cs="Times New Roman"/>
          <w:sz w:val="21"/>
          <w14:ligatures w14:val="none"/>
        </w:rPr>
        <w:t>。</w:t>
      </w:r>
    </w:p>
    <w:p w14:paraId="776BFDA6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5.两点分布（伯努利分布）</w:t>
      </w:r>
    </w:p>
    <w:p w14:paraId="04EEB98D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如果随机变量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的分布列如表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0"/>
        <w:gridCol w:w="351"/>
        <w:gridCol w:w="351"/>
      </w:tblGrid>
      <w:tr w14:paraId="5E5F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510D98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0" o:spt="75" alt="eqIdf022950e0faa45b617d497b01b5292b9" type="#_x0000_t75" style="height:11.65pt;width:12.5pt;" o:ole="t" filled="f" o:preferrelative="t" stroked="f" coordsize="21600,21600">
                  <v:path/>
                  <v:fill on="f" focussize="0,0"/>
                  <v:stroke on="f" joinstyle="miter"/>
                  <v:imagedata r:id="rId17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8362FA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78D3B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0</w:t>
            </w:r>
          </w:p>
        </w:tc>
      </w:tr>
      <w:tr w14:paraId="1F435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EFFE06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i/>
                <w:iCs/>
                <w:sz w:val="24"/>
                <w:szCs w:val="32"/>
                <w14:ligatures w14:val="none"/>
              </w:rPr>
              <w:t>P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F0FADB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p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D472C3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sz w:val="21"/>
                <w14:ligatures w14:val="none"/>
              </w:rPr>
              <w:t>q</w:t>
            </w:r>
          </w:p>
        </w:tc>
      </w:tr>
    </w:tbl>
    <w:p w14:paraId="754A937C">
      <w:pPr>
        <w:spacing w:after="0" w:line="360" w:lineRule="auto"/>
        <w:jc w:val="both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其中</w:t>
      </w:r>
      <m:oMath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0&lt;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p&lt;1,q=1−p</m:t>
        </m:r>
      </m:oMath>
      <w:r>
        <w:rPr>
          <w:rFonts w:hint="eastAsia" w:ascii="Calibri" w:hAnsi="Cambria Math" w:eastAsia="宋体" w:cs="Cambria Math"/>
          <w:iCs/>
          <w:sz w:val="21"/>
          <w14:ligatures w14:val="none"/>
        </w:rPr>
        <w:t>，那么称离散型随机变量X服从参数为p的</w:t>
      </w:r>
      <w:r>
        <w:rPr>
          <w:rFonts w:hint="eastAsia" w:ascii="Calibri" w:hAnsi="Cambria Math" w:eastAsia="宋体" w:cs="Cambria Math"/>
          <w:iCs/>
          <w:color w:val="0000FF"/>
          <w:sz w:val="21"/>
          <w:u w:val="single"/>
          <w14:ligatures w14:val="none"/>
        </w:rPr>
        <w:t>两点分布</w:t>
      </w:r>
      <w:r>
        <w:rPr>
          <w:rFonts w:hint="eastAsia" w:ascii="Calibri" w:hAnsi="Cambria Math" w:eastAsia="宋体" w:cs="Cambria Math"/>
          <w:iCs/>
          <w:sz w:val="21"/>
          <w14:ligatures w14:val="none"/>
        </w:rPr>
        <w:t>（又称0-1分布或伯努利分布）.</w:t>
      </w:r>
    </w:p>
    <w:p w14:paraId="0C2C6870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2118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18DC44A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1D"/>
    <w:rsid w:val="0030271D"/>
    <w:rsid w:val="00AF4848"/>
    <w:rsid w:val="00D0045D"/>
    <w:rsid w:val="00ED4767"/>
    <w:rsid w:val="2A834036"/>
    <w:rsid w:val="54E84CC8"/>
    <w:rsid w:val="716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372</Characters>
  <Lines>21</Lines>
  <Paragraphs>22</Paragraphs>
  <TotalTime>0</TotalTime>
  <ScaleCrop>false</ScaleCrop>
  <LinksUpToDate>false</LinksUpToDate>
  <CharactersWithSpaces>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2025-04-02T04:28:00Z</dcterms:created>
  <dc:creator>路阳 梁</dc:creator>
  <cp:lastModifiedBy>小明同学</cp:lastModifiedBy>
  <dcterms:modified xsi:type="dcterms:W3CDTF">2026-03-20T03:19:49Z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986E68A73D5040448AEC5FF64A998F62_12</vt:lpwstr>
  </property>
</Properties>
</file>